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98FAC" w14:textId="012BF7D5" w:rsidR="00127C17" w:rsidRDefault="00127C17" w:rsidP="004F2AFD">
      <w:pPr>
        <w:jc w:val="both"/>
        <w:rPr>
          <w:rFonts w:cstheme="minorHAnsi"/>
          <w:b/>
          <w:bCs/>
        </w:rPr>
      </w:pPr>
      <w:r w:rsidRPr="00A7579B">
        <w:rPr>
          <w:rFonts w:cstheme="minorHAnsi"/>
          <w:b/>
          <w:bCs/>
        </w:rPr>
        <w:t>One man’s fight to Conserve a Wetland</w:t>
      </w:r>
    </w:p>
    <w:p w14:paraId="2CD172E7" w14:textId="6B15AAE2" w:rsidR="0048719B" w:rsidRPr="006274F9" w:rsidRDefault="0048719B" w:rsidP="004F2AFD">
      <w:pPr>
        <w:jc w:val="both"/>
        <w:rPr>
          <w:rFonts w:cstheme="minorHAnsi"/>
        </w:rPr>
      </w:pPr>
      <w:r w:rsidRPr="006274F9">
        <w:rPr>
          <w:rFonts w:cstheme="minorHAnsi"/>
        </w:rPr>
        <w:t>One the 12</w:t>
      </w:r>
      <w:r w:rsidRPr="006274F9">
        <w:rPr>
          <w:rFonts w:cstheme="minorHAnsi"/>
          <w:vertAlign w:val="superscript"/>
        </w:rPr>
        <w:t>th</w:t>
      </w:r>
      <w:r w:rsidRPr="006274F9">
        <w:rPr>
          <w:rFonts w:cstheme="minorHAnsi"/>
        </w:rPr>
        <w:t xml:space="preserve"> of February we Inaugurated the Wetlands and Water Information </w:t>
      </w:r>
      <w:proofErr w:type="spellStart"/>
      <w:r w:rsidRPr="006274F9">
        <w:rPr>
          <w:rFonts w:cstheme="minorHAnsi"/>
        </w:rPr>
        <w:t>centre</w:t>
      </w:r>
      <w:proofErr w:type="spellEnd"/>
      <w:r w:rsidRPr="006274F9">
        <w:rPr>
          <w:rFonts w:cstheme="minorHAnsi"/>
        </w:rPr>
        <w:t xml:space="preserve"> along with a Wetlands park that was set up in partnership with </w:t>
      </w:r>
      <w:proofErr w:type="spellStart"/>
      <w:r w:rsidRPr="006274F9">
        <w:rPr>
          <w:rFonts w:cstheme="minorHAnsi"/>
        </w:rPr>
        <w:t>Indco</w:t>
      </w:r>
      <w:proofErr w:type="spellEnd"/>
      <w:r w:rsidRPr="006274F9">
        <w:rPr>
          <w:rFonts w:cstheme="minorHAnsi"/>
        </w:rPr>
        <w:t xml:space="preserve"> Tea Factory in </w:t>
      </w:r>
      <w:proofErr w:type="spellStart"/>
      <w:r w:rsidRPr="006274F9">
        <w:rPr>
          <w:rFonts w:cstheme="minorHAnsi"/>
        </w:rPr>
        <w:t>Kattabettu</w:t>
      </w:r>
      <w:proofErr w:type="spellEnd"/>
      <w:r w:rsidRPr="006274F9">
        <w:rPr>
          <w:rFonts w:cstheme="minorHAnsi"/>
        </w:rPr>
        <w:t xml:space="preserve">. The </w:t>
      </w:r>
      <w:proofErr w:type="spellStart"/>
      <w:r w:rsidRPr="006274F9">
        <w:rPr>
          <w:rFonts w:cstheme="minorHAnsi"/>
        </w:rPr>
        <w:t>Nabard</w:t>
      </w:r>
      <w:proofErr w:type="spellEnd"/>
      <w:r w:rsidRPr="006274F9">
        <w:rPr>
          <w:rFonts w:cstheme="minorHAnsi"/>
        </w:rPr>
        <w:t xml:space="preserve"> Chairman inaugurated the space in the presence of the District Monitoring Officer and CEO </w:t>
      </w:r>
      <w:proofErr w:type="spellStart"/>
      <w:r w:rsidRPr="006274F9">
        <w:rPr>
          <w:rFonts w:cstheme="minorHAnsi"/>
        </w:rPr>
        <w:t>Indco</w:t>
      </w:r>
      <w:proofErr w:type="spellEnd"/>
      <w:r w:rsidRPr="006274F9">
        <w:rPr>
          <w:rFonts w:cstheme="minorHAnsi"/>
        </w:rPr>
        <w:t xml:space="preserve"> Serve and District Collector Innocent Divya.</w:t>
      </w:r>
    </w:p>
    <w:p w14:paraId="1B612A5C" w14:textId="70736EC6" w:rsidR="0048719B" w:rsidRPr="006274F9" w:rsidRDefault="00585A7E" w:rsidP="004F2AFD">
      <w:pPr>
        <w:jc w:val="both"/>
        <w:rPr>
          <w:rFonts w:cstheme="minorHAnsi"/>
        </w:rPr>
      </w:pPr>
      <w:r w:rsidRPr="006274F9">
        <w:rPr>
          <w:rFonts w:cstheme="minorHAnsi"/>
        </w:rPr>
        <w:t xml:space="preserve">At the same time another wetland in the heart of Kotagiri town was about to be converted for building a Primary Health Centre. Commonly known as the Rifle Range Wetland among the locals after the British initially used the area for training their soldiers on shooting, the traditional name of the Wetland being </w:t>
      </w:r>
      <w:proofErr w:type="spellStart"/>
      <w:r w:rsidRPr="006274F9">
        <w:rPr>
          <w:rFonts w:cstheme="minorHAnsi"/>
        </w:rPr>
        <w:t>Ubbaranni</w:t>
      </w:r>
      <w:proofErr w:type="spellEnd"/>
      <w:r w:rsidRPr="006274F9">
        <w:rPr>
          <w:rFonts w:cstheme="minorHAnsi"/>
        </w:rPr>
        <w:t xml:space="preserve"> </w:t>
      </w:r>
      <w:proofErr w:type="spellStart"/>
      <w:r w:rsidRPr="006274F9">
        <w:rPr>
          <w:rFonts w:cstheme="minorHAnsi"/>
        </w:rPr>
        <w:t>Haada</w:t>
      </w:r>
      <w:proofErr w:type="spellEnd"/>
      <w:r w:rsidRPr="006274F9">
        <w:rPr>
          <w:rFonts w:cstheme="minorHAnsi"/>
        </w:rPr>
        <w:t xml:space="preserve"> is far forgotten. </w:t>
      </w:r>
    </w:p>
    <w:p w14:paraId="176D9120" w14:textId="4206A1EE" w:rsidR="004417B5" w:rsidRPr="006274F9" w:rsidRDefault="004417B5" w:rsidP="004F2AFD">
      <w:pPr>
        <w:jc w:val="both"/>
        <w:rPr>
          <w:rFonts w:cstheme="minorHAnsi"/>
        </w:rPr>
      </w:pPr>
      <w:r w:rsidRPr="006274F9">
        <w:rPr>
          <w:rFonts w:cstheme="minorHAnsi"/>
        </w:rPr>
        <w:t>The name Keirbetta was derived from the Wetland – Keir mean</w:t>
      </w:r>
      <w:r w:rsidR="00A12993" w:rsidRPr="006274F9">
        <w:rPr>
          <w:rFonts w:cstheme="minorHAnsi"/>
        </w:rPr>
        <w:t>ing</w:t>
      </w:r>
      <w:r w:rsidRPr="006274F9">
        <w:rPr>
          <w:rFonts w:cstheme="minorHAnsi"/>
        </w:rPr>
        <w:t xml:space="preserve"> Wetland and Betta mean</w:t>
      </w:r>
      <w:r w:rsidR="009E08B9" w:rsidRPr="006274F9">
        <w:rPr>
          <w:rFonts w:cstheme="minorHAnsi"/>
        </w:rPr>
        <w:t>ing a</w:t>
      </w:r>
      <w:r w:rsidRPr="006274F9">
        <w:rPr>
          <w:rFonts w:cstheme="minorHAnsi"/>
        </w:rPr>
        <w:t xml:space="preserve"> Hill in the local Badaga language. </w:t>
      </w:r>
      <w:r w:rsidR="00A15AC7" w:rsidRPr="006274F9">
        <w:rPr>
          <w:rFonts w:cstheme="minorHAnsi"/>
        </w:rPr>
        <w:t>The villagers have been traditionally using this land and its catchments for grazing their buffaloes. However due to land use changes and other communities moving in and setting up habitations</w:t>
      </w:r>
      <w:r w:rsidR="006B2BAE" w:rsidRPr="006274F9">
        <w:rPr>
          <w:rFonts w:cstheme="minorHAnsi"/>
        </w:rPr>
        <w:t xml:space="preserve">, the grazing areas reduced resulting in the reduction of buffalo population. </w:t>
      </w:r>
      <w:r w:rsidR="00905131" w:rsidRPr="006274F9">
        <w:rPr>
          <w:rFonts w:cstheme="minorHAnsi"/>
        </w:rPr>
        <w:t xml:space="preserve">Today the Land use of the Wetland is as seen in the map below. </w:t>
      </w:r>
    </w:p>
    <w:p w14:paraId="6FF38D16" w14:textId="1AE9B5DD" w:rsidR="00523B27" w:rsidRPr="006274F9" w:rsidRDefault="00261916" w:rsidP="004F2AFD">
      <w:pPr>
        <w:jc w:val="both"/>
        <w:rPr>
          <w:rFonts w:cstheme="minorHAnsi"/>
        </w:rPr>
      </w:pPr>
      <w:r w:rsidRPr="006274F9">
        <w:rPr>
          <w:rFonts w:cstheme="minorHAnsi"/>
          <w:i/>
          <w:noProof/>
        </w:rPr>
        <w:drawing>
          <wp:inline distT="0" distB="0" distL="0" distR="0" wp14:anchorId="39879CAB" wp14:editId="5488B08B">
            <wp:extent cx="5943600" cy="3340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a:noFill/>
                    </a:ln>
                  </pic:spPr>
                </pic:pic>
              </a:graphicData>
            </a:graphic>
          </wp:inline>
        </w:drawing>
      </w:r>
      <w:r w:rsidRPr="006274F9">
        <w:rPr>
          <w:rFonts w:cstheme="minorHAnsi"/>
          <w:i/>
        </w:rPr>
        <w:t>Figure 6: Land cover map of Rifle Range overlaid on Google Earth Image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5"/>
      </w:tblGrid>
      <w:tr w:rsidR="005A69E3" w:rsidRPr="006274F9" w14:paraId="49F85C85" w14:textId="77777777" w:rsidTr="00C233E4">
        <w:trPr>
          <w:trHeight w:val="20"/>
        </w:trPr>
        <w:tc>
          <w:tcPr>
            <w:tcW w:w="2200" w:type="pct"/>
          </w:tcPr>
          <w:p w14:paraId="5C28D970" w14:textId="77777777" w:rsidR="005A69E3" w:rsidRPr="006274F9" w:rsidRDefault="005A69E3" w:rsidP="00996E16">
            <w:pPr>
              <w:spacing w:line="360" w:lineRule="auto"/>
              <w:jc w:val="both"/>
              <w:rPr>
                <w:rFonts w:cstheme="minorHAnsi"/>
                <w:color w:val="000000" w:themeColor="text1"/>
              </w:rPr>
            </w:pPr>
            <w:r w:rsidRPr="006274F9">
              <w:rPr>
                <w:rFonts w:cstheme="minorHAnsi"/>
                <w:color w:val="000000" w:themeColor="text1"/>
              </w:rPr>
              <w:t>Total area of catchment</w:t>
            </w:r>
          </w:p>
        </w:tc>
        <w:tc>
          <w:tcPr>
            <w:tcW w:w="2200" w:type="pct"/>
          </w:tcPr>
          <w:p w14:paraId="262A908E" w14:textId="77777777" w:rsidR="005A69E3" w:rsidRPr="006274F9" w:rsidRDefault="005A69E3" w:rsidP="00996E16">
            <w:pPr>
              <w:spacing w:line="360" w:lineRule="auto"/>
              <w:jc w:val="both"/>
              <w:rPr>
                <w:rFonts w:cstheme="minorHAnsi"/>
                <w:color w:val="000000" w:themeColor="text1"/>
              </w:rPr>
            </w:pPr>
            <w:r w:rsidRPr="006274F9">
              <w:rPr>
                <w:rFonts w:cstheme="minorHAnsi"/>
                <w:color w:val="000000" w:themeColor="text1"/>
              </w:rPr>
              <w:t>108 acres</w:t>
            </w:r>
          </w:p>
        </w:tc>
      </w:tr>
      <w:tr w:rsidR="005A69E3" w:rsidRPr="006274F9" w14:paraId="61503228" w14:textId="77777777" w:rsidTr="00C233E4">
        <w:trPr>
          <w:trHeight w:val="20"/>
        </w:trPr>
        <w:tc>
          <w:tcPr>
            <w:tcW w:w="2200" w:type="pct"/>
          </w:tcPr>
          <w:p w14:paraId="5802385A" w14:textId="77777777" w:rsidR="005A69E3" w:rsidRPr="006274F9" w:rsidRDefault="005A69E3" w:rsidP="00996E16">
            <w:pPr>
              <w:spacing w:line="360" w:lineRule="auto"/>
              <w:jc w:val="both"/>
              <w:rPr>
                <w:rFonts w:cstheme="minorHAnsi"/>
                <w:color w:val="000000" w:themeColor="text1"/>
              </w:rPr>
            </w:pPr>
            <w:r w:rsidRPr="006274F9">
              <w:rPr>
                <w:rFonts w:cstheme="minorHAnsi"/>
                <w:color w:val="000000" w:themeColor="text1"/>
              </w:rPr>
              <w:t>Total perimeter of the catchment</w:t>
            </w:r>
          </w:p>
        </w:tc>
        <w:tc>
          <w:tcPr>
            <w:tcW w:w="2200" w:type="pct"/>
          </w:tcPr>
          <w:p w14:paraId="6838ACF5" w14:textId="77777777" w:rsidR="005A69E3" w:rsidRPr="006274F9" w:rsidRDefault="005A69E3" w:rsidP="00996E16">
            <w:pPr>
              <w:spacing w:line="360" w:lineRule="auto"/>
              <w:jc w:val="both"/>
              <w:rPr>
                <w:rFonts w:cstheme="minorHAnsi"/>
                <w:color w:val="000000" w:themeColor="text1"/>
              </w:rPr>
            </w:pPr>
            <w:r w:rsidRPr="006274F9">
              <w:rPr>
                <w:rFonts w:cstheme="minorHAnsi"/>
                <w:color w:val="000000" w:themeColor="text1"/>
              </w:rPr>
              <w:t>2595 m</w:t>
            </w:r>
          </w:p>
        </w:tc>
      </w:tr>
      <w:tr w:rsidR="005A69E3" w:rsidRPr="006274F9" w14:paraId="674240CB" w14:textId="77777777" w:rsidTr="00C233E4">
        <w:trPr>
          <w:trHeight w:val="20"/>
        </w:trPr>
        <w:tc>
          <w:tcPr>
            <w:tcW w:w="2200" w:type="pct"/>
          </w:tcPr>
          <w:p w14:paraId="5CA10BBC" w14:textId="77777777" w:rsidR="005A69E3" w:rsidRPr="006274F9" w:rsidRDefault="005A69E3" w:rsidP="00996E16">
            <w:pPr>
              <w:spacing w:line="360" w:lineRule="auto"/>
              <w:jc w:val="both"/>
              <w:rPr>
                <w:rFonts w:cstheme="minorHAnsi"/>
                <w:color w:val="000000" w:themeColor="text1"/>
              </w:rPr>
            </w:pPr>
            <w:r w:rsidRPr="006274F9">
              <w:rPr>
                <w:rFonts w:cstheme="minorHAnsi"/>
                <w:color w:val="000000" w:themeColor="text1"/>
              </w:rPr>
              <w:t>Total area of wetland</w:t>
            </w:r>
          </w:p>
        </w:tc>
        <w:tc>
          <w:tcPr>
            <w:tcW w:w="2200" w:type="pct"/>
          </w:tcPr>
          <w:p w14:paraId="294C1805" w14:textId="77777777" w:rsidR="005A69E3" w:rsidRPr="006274F9" w:rsidRDefault="005A69E3" w:rsidP="00996E16">
            <w:pPr>
              <w:spacing w:line="360" w:lineRule="auto"/>
              <w:jc w:val="both"/>
              <w:rPr>
                <w:rFonts w:cstheme="minorHAnsi"/>
                <w:color w:val="000000" w:themeColor="text1"/>
              </w:rPr>
            </w:pPr>
            <w:r w:rsidRPr="006274F9">
              <w:rPr>
                <w:rFonts w:cstheme="minorHAnsi"/>
                <w:color w:val="000000" w:themeColor="text1"/>
              </w:rPr>
              <w:t>6.99 acres</w:t>
            </w:r>
          </w:p>
        </w:tc>
      </w:tr>
      <w:tr w:rsidR="005A69E3" w:rsidRPr="006274F9" w14:paraId="71A99642" w14:textId="77777777" w:rsidTr="00C233E4">
        <w:trPr>
          <w:trHeight w:val="20"/>
        </w:trPr>
        <w:tc>
          <w:tcPr>
            <w:tcW w:w="2200" w:type="pct"/>
          </w:tcPr>
          <w:p w14:paraId="73BCA8CC" w14:textId="77777777" w:rsidR="005A69E3" w:rsidRPr="006274F9" w:rsidRDefault="005A69E3" w:rsidP="00996E16">
            <w:pPr>
              <w:spacing w:line="360" w:lineRule="auto"/>
              <w:jc w:val="both"/>
              <w:rPr>
                <w:rFonts w:cstheme="minorHAnsi"/>
                <w:color w:val="000000" w:themeColor="text1"/>
              </w:rPr>
            </w:pPr>
            <w:r w:rsidRPr="006274F9">
              <w:rPr>
                <w:rFonts w:cstheme="minorHAnsi"/>
                <w:color w:val="000000" w:themeColor="text1"/>
              </w:rPr>
              <w:lastRenderedPageBreak/>
              <w:t>Total perimeter of the wetland</w:t>
            </w:r>
          </w:p>
        </w:tc>
        <w:tc>
          <w:tcPr>
            <w:tcW w:w="2200" w:type="pct"/>
          </w:tcPr>
          <w:p w14:paraId="27A4A062" w14:textId="77777777" w:rsidR="005A69E3" w:rsidRPr="006274F9" w:rsidRDefault="005A69E3" w:rsidP="00996E16">
            <w:pPr>
              <w:spacing w:line="360" w:lineRule="auto"/>
              <w:jc w:val="both"/>
              <w:rPr>
                <w:rFonts w:cstheme="minorHAnsi"/>
                <w:color w:val="000000" w:themeColor="text1"/>
              </w:rPr>
            </w:pPr>
            <w:r w:rsidRPr="006274F9">
              <w:rPr>
                <w:rFonts w:cstheme="minorHAnsi"/>
                <w:color w:val="000000" w:themeColor="text1"/>
              </w:rPr>
              <w:t xml:space="preserve">1192 m </w:t>
            </w:r>
          </w:p>
        </w:tc>
      </w:tr>
    </w:tbl>
    <w:p w14:paraId="094148FD" w14:textId="77777777" w:rsidR="00BE20CB" w:rsidRPr="006274F9" w:rsidRDefault="00BE20CB" w:rsidP="00BE20CB">
      <w:pPr>
        <w:jc w:val="both"/>
        <w:rPr>
          <w:rFonts w:cstheme="minorHAnsi"/>
          <w:i/>
        </w:rPr>
      </w:pPr>
      <w:r w:rsidRPr="006274F9">
        <w:rPr>
          <w:rFonts w:cstheme="minorHAnsi"/>
          <w:i/>
        </w:rPr>
        <w:t>Table 1: Area of the wetland and the catchment</w:t>
      </w:r>
    </w:p>
    <w:p w14:paraId="63216AEA" w14:textId="140F752B" w:rsidR="005A69E3" w:rsidRPr="006274F9" w:rsidRDefault="005A69E3" w:rsidP="004F2AFD">
      <w:pPr>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3129"/>
      </w:tblGrid>
      <w:tr w:rsidR="005A69E3" w:rsidRPr="006274F9" w14:paraId="19AD51E9" w14:textId="77777777" w:rsidTr="00996E16">
        <w:trPr>
          <w:trHeight w:val="503"/>
        </w:trPr>
        <w:tc>
          <w:tcPr>
            <w:tcW w:w="3285" w:type="dxa"/>
            <w:shd w:val="clear" w:color="auto" w:fill="CCCCCC"/>
          </w:tcPr>
          <w:p w14:paraId="6FBD550E" w14:textId="77777777" w:rsidR="005A69E3" w:rsidRPr="006274F9" w:rsidRDefault="005A69E3" w:rsidP="00996E16">
            <w:pPr>
              <w:pStyle w:val="TableContents"/>
              <w:rPr>
                <w:rFonts w:asciiTheme="minorHAnsi" w:hAnsiTheme="minorHAnsi" w:cstheme="minorHAnsi"/>
                <w:sz w:val="22"/>
                <w:szCs w:val="22"/>
              </w:rPr>
            </w:pPr>
            <w:r w:rsidRPr="006274F9">
              <w:rPr>
                <w:rFonts w:asciiTheme="minorHAnsi" w:hAnsiTheme="minorHAnsi" w:cstheme="minorHAnsi"/>
                <w:b/>
                <w:sz w:val="22"/>
                <w:szCs w:val="22"/>
              </w:rPr>
              <w:t>Name</w:t>
            </w:r>
          </w:p>
        </w:tc>
        <w:tc>
          <w:tcPr>
            <w:tcW w:w="3129" w:type="dxa"/>
            <w:shd w:val="clear" w:color="auto" w:fill="CCCCCC"/>
          </w:tcPr>
          <w:p w14:paraId="4D74ECCD" w14:textId="77777777" w:rsidR="005A69E3" w:rsidRPr="006274F9" w:rsidRDefault="005A69E3" w:rsidP="00996E16">
            <w:pPr>
              <w:pStyle w:val="TableContents"/>
              <w:jc w:val="center"/>
              <w:rPr>
                <w:rFonts w:asciiTheme="minorHAnsi" w:hAnsiTheme="minorHAnsi" w:cstheme="minorHAnsi"/>
                <w:sz w:val="22"/>
                <w:szCs w:val="22"/>
              </w:rPr>
            </w:pPr>
            <w:r w:rsidRPr="006274F9">
              <w:rPr>
                <w:rFonts w:asciiTheme="minorHAnsi" w:hAnsiTheme="minorHAnsi" w:cstheme="minorHAnsi"/>
                <w:b/>
                <w:sz w:val="22"/>
                <w:szCs w:val="22"/>
              </w:rPr>
              <w:t>Area (acres)</w:t>
            </w:r>
          </w:p>
        </w:tc>
      </w:tr>
      <w:tr w:rsidR="005A69E3" w:rsidRPr="006274F9" w14:paraId="25FD4CE6" w14:textId="77777777" w:rsidTr="00996E16">
        <w:trPr>
          <w:trHeight w:val="563"/>
        </w:trPr>
        <w:tc>
          <w:tcPr>
            <w:tcW w:w="3285" w:type="dxa"/>
            <w:shd w:val="clear" w:color="auto" w:fill="auto"/>
          </w:tcPr>
          <w:p w14:paraId="292C1E87" w14:textId="77777777" w:rsidR="005A69E3" w:rsidRPr="006274F9" w:rsidRDefault="005A69E3" w:rsidP="00996E16">
            <w:pPr>
              <w:pStyle w:val="TableContents"/>
              <w:rPr>
                <w:rFonts w:asciiTheme="minorHAnsi" w:hAnsiTheme="minorHAnsi" w:cstheme="minorHAnsi"/>
                <w:sz w:val="22"/>
                <w:szCs w:val="22"/>
              </w:rPr>
            </w:pPr>
            <w:r w:rsidRPr="006274F9">
              <w:rPr>
                <w:rFonts w:asciiTheme="minorHAnsi" w:hAnsiTheme="minorHAnsi" w:cstheme="minorHAnsi"/>
                <w:sz w:val="22"/>
                <w:szCs w:val="22"/>
              </w:rPr>
              <w:t>Built-up</w:t>
            </w:r>
          </w:p>
        </w:tc>
        <w:tc>
          <w:tcPr>
            <w:tcW w:w="3129" w:type="dxa"/>
            <w:shd w:val="clear" w:color="auto" w:fill="auto"/>
          </w:tcPr>
          <w:p w14:paraId="1C9BF471" w14:textId="77777777" w:rsidR="005A69E3" w:rsidRPr="006274F9" w:rsidRDefault="005A69E3" w:rsidP="00996E16">
            <w:pPr>
              <w:pStyle w:val="TableContents"/>
              <w:jc w:val="right"/>
              <w:rPr>
                <w:rFonts w:asciiTheme="minorHAnsi" w:hAnsiTheme="minorHAnsi" w:cstheme="minorHAnsi"/>
                <w:sz w:val="22"/>
                <w:szCs w:val="22"/>
              </w:rPr>
            </w:pPr>
            <w:r w:rsidRPr="006274F9">
              <w:rPr>
                <w:rFonts w:asciiTheme="minorHAnsi" w:hAnsiTheme="minorHAnsi" w:cstheme="minorHAnsi"/>
                <w:sz w:val="22"/>
                <w:szCs w:val="22"/>
              </w:rPr>
              <w:t>28.93</w:t>
            </w:r>
          </w:p>
        </w:tc>
      </w:tr>
      <w:tr w:rsidR="005A69E3" w:rsidRPr="006274F9" w14:paraId="00D4B57A" w14:textId="77777777" w:rsidTr="00996E16">
        <w:trPr>
          <w:trHeight w:val="486"/>
        </w:trPr>
        <w:tc>
          <w:tcPr>
            <w:tcW w:w="3285" w:type="dxa"/>
            <w:shd w:val="clear" w:color="auto" w:fill="auto"/>
          </w:tcPr>
          <w:p w14:paraId="017BCFBA" w14:textId="77777777" w:rsidR="005A69E3" w:rsidRPr="006274F9" w:rsidRDefault="005A69E3" w:rsidP="00996E16">
            <w:pPr>
              <w:pStyle w:val="TableContents"/>
              <w:rPr>
                <w:rFonts w:asciiTheme="minorHAnsi" w:hAnsiTheme="minorHAnsi" w:cstheme="minorHAnsi"/>
                <w:sz w:val="22"/>
                <w:szCs w:val="22"/>
              </w:rPr>
            </w:pPr>
            <w:r w:rsidRPr="006274F9">
              <w:rPr>
                <w:rFonts w:asciiTheme="minorHAnsi" w:hAnsiTheme="minorHAnsi" w:cstheme="minorHAnsi"/>
                <w:sz w:val="22"/>
                <w:szCs w:val="22"/>
              </w:rPr>
              <w:t>Tea</w:t>
            </w:r>
          </w:p>
        </w:tc>
        <w:tc>
          <w:tcPr>
            <w:tcW w:w="3129" w:type="dxa"/>
            <w:shd w:val="clear" w:color="auto" w:fill="auto"/>
          </w:tcPr>
          <w:p w14:paraId="05DCC095" w14:textId="77777777" w:rsidR="005A69E3" w:rsidRPr="006274F9" w:rsidRDefault="005A69E3" w:rsidP="00996E16">
            <w:pPr>
              <w:pStyle w:val="TableContents"/>
              <w:jc w:val="right"/>
              <w:rPr>
                <w:rFonts w:asciiTheme="minorHAnsi" w:hAnsiTheme="minorHAnsi" w:cstheme="minorHAnsi"/>
                <w:sz w:val="22"/>
                <w:szCs w:val="22"/>
              </w:rPr>
            </w:pPr>
            <w:r w:rsidRPr="006274F9">
              <w:rPr>
                <w:rFonts w:asciiTheme="minorHAnsi" w:hAnsiTheme="minorHAnsi" w:cstheme="minorHAnsi"/>
                <w:sz w:val="22"/>
                <w:szCs w:val="22"/>
              </w:rPr>
              <w:t>55.28</w:t>
            </w:r>
          </w:p>
        </w:tc>
      </w:tr>
      <w:tr w:rsidR="005A69E3" w:rsidRPr="006274F9" w14:paraId="59378BB3" w14:textId="77777777" w:rsidTr="00996E16">
        <w:trPr>
          <w:trHeight w:val="497"/>
        </w:trPr>
        <w:tc>
          <w:tcPr>
            <w:tcW w:w="3285" w:type="dxa"/>
            <w:shd w:val="clear" w:color="auto" w:fill="auto"/>
          </w:tcPr>
          <w:p w14:paraId="7B42C1C5" w14:textId="77777777" w:rsidR="005A69E3" w:rsidRPr="006274F9" w:rsidRDefault="005A69E3" w:rsidP="00996E16">
            <w:pPr>
              <w:pStyle w:val="TableContents"/>
              <w:rPr>
                <w:rFonts w:asciiTheme="minorHAnsi" w:hAnsiTheme="minorHAnsi" w:cstheme="minorHAnsi"/>
                <w:sz w:val="22"/>
                <w:szCs w:val="22"/>
              </w:rPr>
            </w:pPr>
            <w:r w:rsidRPr="006274F9">
              <w:rPr>
                <w:rFonts w:asciiTheme="minorHAnsi" w:hAnsiTheme="minorHAnsi" w:cstheme="minorHAnsi"/>
                <w:sz w:val="22"/>
                <w:szCs w:val="22"/>
              </w:rPr>
              <w:t>Tree cover</w:t>
            </w:r>
          </w:p>
        </w:tc>
        <w:tc>
          <w:tcPr>
            <w:tcW w:w="3129" w:type="dxa"/>
            <w:shd w:val="clear" w:color="auto" w:fill="auto"/>
          </w:tcPr>
          <w:p w14:paraId="4B10A931" w14:textId="77777777" w:rsidR="005A69E3" w:rsidRPr="006274F9" w:rsidRDefault="005A69E3" w:rsidP="00996E16">
            <w:pPr>
              <w:pStyle w:val="TableContents"/>
              <w:jc w:val="right"/>
              <w:rPr>
                <w:rFonts w:asciiTheme="minorHAnsi" w:hAnsiTheme="minorHAnsi" w:cstheme="minorHAnsi"/>
                <w:sz w:val="22"/>
                <w:szCs w:val="22"/>
              </w:rPr>
            </w:pPr>
            <w:r w:rsidRPr="006274F9">
              <w:rPr>
                <w:rFonts w:asciiTheme="minorHAnsi" w:hAnsiTheme="minorHAnsi" w:cstheme="minorHAnsi"/>
                <w:sz w:val="22"/>
                <w:szCs w:val="22"/>
              </w:rPr>
              <w:t>8.59</w:t>
            </w:r>
          </w:p>
        </w:tc>
      </w:tr>
      <w:tr w:rsidR="005A69E3" w:rsidRPr="006274F9" w14:paraId="79998F32" w14:textId="77777777" w:rsidTr="00996E16">
        <w:trPr>
          <w:trHeight w:val="486"/>
        </w:trPr>
        <w:tc>
          <w:tcPr>
            <w:tcW w:w="3285" w:type="dxa"/>
            <w:shd w:val="clear" w:color="auto" w:fill="auto"/>
          </w:tcPr>
          <w:p w14:paraId="42F73622" w14:textId="77777777" w:rsidR="005A69E3" w:rsidRPr="006274F9" w:rsidRDefault="005A69E3" w:rsidP="00996E16">
            <w:pPr>
              <w:pStyle w:val="TableContents"/>
              <w:rPr>
                <w:rFonts w:asciiTheme="minorHAnsi" w:hAnsiTheme="minorHAnsi" w:cstheme="minorHAnsi"/>
                <w:sz w:val="22"/>
                <w:szCs w:val="22"/>
              </w:rPr>
            </w:pPr>
            <w:r w:rsidRPr="006274F9">
              <w:rPr>
                <w:rFonts w:asciiTheme="minorHAnsi" w:hAnsiTheme="minorHAnsi" w:cstheme="minorHAnsi"/>
                <w:sz w:val="22"/>
                <w:szCs w:val="22"/>
              </w:rPr>
              <w:t>Wetland</w:t>
            </w:r>
          </w:p>
        </w:tc>
        <w:tc>
          <w:tcPr>
            <w:tcW w:w="3129" w:type="dxa"/>
            <w:shd w:val="clear" w:color="auto" w:fill="auto"/>
          </w:tcPr>
          <w:p w14:paraId="20E4839B" w14:textId="77777777" w:rsidR="005A69E3" w:rsidRPr="006274F9" w:rsidRDefault="005A69E3" w:rsidP="00996E16">
            <w:pPr>
              <w:pStyle w:val="TableContents"/>
              <w:jc w:val="right"/>
              <w:rPr>
                <w:rFonts w:asciiTheme="minorHAnsi" w:hAnsiTheme="minorHAnsi" w:cstheme="minorHAnsi"/>
                <w:sz w:val="22"/>
                <w:szCs w:val="22"/>
              </w:rPr>
            </w:pPr>
            <w:r w:rsidRPr="006274F9">
              <w:rPr>
                <w:rFonts w:asciiTheme="minorHAnsi" w:hAnsiTheme="minorHAnsi" w:cstheme="minorHAnsi"/>
                <w:sz w:val="22"/>
                <w:szCs w:val="22"/>
              </w:rPr>
              <w:t>6.99</w:t>
            </w:r>
          </w:p>
        </w:tc>
      </w:tr>
      <w:tr w:rsidR="005A69E3" w:rsidRPr="006274F9" w14:paraId="4E074795" w14:textId="77777777" w:rsidTr="00996E16">
        <w:trPr>
          <w:trHeight w:val="486"/>
        </w:trPr>
        <w:tc>
          <w:tcPr>
            <w:tcW w:w="3285" w:type="dxa"/>
            <w:shd w:val="clear" w:color="auto" w:fill="auto"/>
          </w:tcPr>
          <w:p w14:paraId="131772B8" w14:textId="77777777" w:rsidR="005A69E3" w:rsidRPr="006274F9" w:rsidRDefault="005A69E3" w:rsidP="00996E16">
            <w:pPr>
              <w:pStyle w:val="TableContents"/>
              <w:rPr>
                <w:rFonts w:asciiTheme="minorHAnsi" w:hAnsiTheme="minorHAnsi" w:cstheme="minorHAnsi"/>
                <w:sz w:val="22"/>
                <w:szCs w:val="22"/>
              </w:rPr>
            </w:pPr>
            <w:r w:rsidRPr="006274F9">
              <w:rPr>
                <w:rFonts w:asciiTheme="minorHAnsi" w:hAnsiTheme="minorHAnsi" w:cstheme="minorHAnsi"/>
                <w:sz w:val="22"/>
                <w:szCs w:val="22"/>
              </w:rPr>
              <w:t>Miscellaneous</w:t>
            </w:r>
          </w:p>
        </w:tc>
        <w:tc>
          <w:tcPr>
            <w:tcW w:w="3129" w:type="dxa"/>
            <w:shd w:val="clear" w:color="auto" w:fill="auto"/>
          </w:tcPr>
          <w:p w14:paraId="0598B292" w14:textId="77777777" w:rsidR="005A69E3" w:rsidRPr="006274F9" w:rsidRDefault="005A69E3" w:rsidP="00996E16">
            <w:pPr>
              <w:pStyle w:val="TableContents"/>
              <w:jc w:val="right"/>
              <w:rPr>
                <w:rFonts w:asciiTheme="minorHAnsi" w:hAnsiTheme="minorHAnsi" w:cstheme="minorHAnsi"/>
                <w:sz w:val="22"/>
                <w:szCs w:val="22"/>
              </w:rPr>
            </w:pPr>
            <w:r w:rsidRPr="006274F9">
              <w:rPr>
                <w:rFonts w:asciiTheme="minorHAnsi" w:hAnsiTheme="minorHAnsi" w:cstheme="minorHAnsi"/>
                <w:sz w:val="22"/>
                <w:szCs w:val="22"/>
              </w:rPr>
              <w:t>8.21</w:t>
            </w:r>
          </w:p>
        </w:tc>
      </w:tr>
      <w:tr w:rsidR="005A69E3" w:rsidRPr="006274F9" w14:paraId="4B067CB6" w14:textId="77777777" w:rsidTr="00996E16">
        <w:trPr>
          <w:trHeight w:val="473"/>
        </w:trPr>
        <w:tc>
          <w:tcPr>
            <w:tcW w:w="3285" w:type="dxa"/>
            <w:shd w:val="clear" w:color="auto" w:fill="D9D9D9"/>
          </w:tcPr>
          <w:p w14:paraId="0851EFFB" w14:textId="77777777" w:rsidR="005A69E3" w:rsidRPr="006274F9" w:rsidRDefault="005A69E3" w:rsidP="00996E16">
            <w:pPr>
              <w:pStyle w:val="TableContents"/>
              <w:rPr>
                <w:rFonts w:asciiTheme="minorHAnsi" w:hAnsiTheme="minorHAnsi" w:cstheme="minorHAnsi"/>
                <w:sz w:val="22"/>
                <w:szCs w:val="22"/>
              </w:rPr>
            </w:pPr>
            <w:r w:rsidRPr="006274F9">
              <w:rPr>
                <w:rFonts w:asciiTheme="minorHAnsi" w:hAnsiTheme="minorHAnsi" w:cstheme="minorHAnsi"/>
                <w:b/>
                <w:sz w:val="22"/>
                <w:szCs w:val="22"/>
              </w:rPr>
              <w:t>Total</w:t>
            </w:r>
          </w:p>
        </w:tc>
        <w:tc>
          <w:tcPr>
            <w:tcW w:w="3129" w:type="dxa"/>
            <w:shd w:val="clear" w:color="auto" w:fill="D9D9D9"/>
          </w:tcPr>
          <w:p w14:paraId="4A702349" w14:textId="77777777" w:rsidR="005A69E3" w:rsidRPr="006274F9" w:rsidRDefault="005A69E3" w:rsidP="00996E16">
            <w:pPr>
              <w:pStyle w:val="TableContents"/>
              <w:jc w:val="right"/>
              <w:rPr>
                <w:rFonts w:asciiTheme="minorHAnsi" w:hAnsiTheme="minorHAnsi" w:cstheme="minorHAnsi"/>
                <w:sz w:val="22"/>
                <w:szCs w:val="22"/>
              </w:rPr>
            </w:pPr>
            <w:r w:rsidRPr="006274F9">
              <w:rPr>
                <w:rFonts w:asciiTheme="minorHAnsi" w:hAnsiTheme="minorHAnsi" w:cstheme="minorHAnsi"/>
                <w:b/>
                <w:sz w:val="22"/>
                <w:szCs w:val="22"/>
              </w:rPr>
              <w:t>108</w:t>
            </w:r>
          </w:p>
        </w:tc>
      </w:tr>
    </w:tbl>
    <w:p w14:paraId="3714F9DE" w14:textId="700FAEFD" w:rsidR="002941C1" w:rsidRPr="006274F9" w:rsidRDefault="002941C1" w:rsidP="002941C1">
      <w:pPr>
        <w:pStyle w:val="Caption"/>
        <w:jc w:val="both"/>
        <w:rPr>
          <w:rFonts w:asciiTheme="minorHAnsi" w:hAnsiTheme="minorHAnsi" w:cstheme="minorHAnsi"/>
          <w:sz w:val="22"/>
          <w:szCs w:val="22"/>
        </w:rPr>
      </w:pPr>
      <w:r w:rsidRPr="006274F9">
        <w:rPr>
          <w:rFonts w:asciiTheme="minorHAnsi" w:hAnsiTheme="minorHAnsi" w:cstheme="minorHAnsi"/>
          <w:sz w:val="22"/>
          <w:szCs w:val="22"/>
        </w:rPr>
        <w:t xml:space="preserve">Table 2: Land use in the catchment and their area      </w:t>
      </w:r>
    </w:p>
    <w:p w14:paraId="24B91BFE" w14:textId="77777777" w:rsidR="0045575F" w:rsidRPr="006274F9" w:rsidRDefault="0045575F" w:rsidP="002941C1">
      <w:pPr>
        <w:pStyle w:val="Caption"/>
        <w:jc w:val="both"/>
        <w:rPr>
          <w:rFonts w:asciiTheme="minorHAnsi" w:hAnsiTheme="minorHAnsi" w:cstheme="minorHAnsi"/>
          <w:sz w:val="22"/>
          <w:szCs w:val="22"/>
        </w:rPr>
      </w:pPr>
    </w:p>
    <w:p w14:paraId="028810CD" w14:textId="1ADDBA99" w:rsidR="00A03F54" w:rsidRPr="006274F9" w:rsidRDefault="00A03F54" w:rsidP="00A03F54">
      <w:pPr>
        <w:pStyle w:val="Caption"/>
        <w:jc w:val="both"/>
        <w:rPr>
          <w:rFonts w:asciiTheme="minorHAnsi" w:hAnsiTheme="minorHAnsi" w:cstheme="minorHAnsi"/>
          <w:noProof/>
          <w:sz w:val="22"/>
          <w:szCs w:val="22"/>
          <w:lang w:val="en-IN" w:eastAsia="en-IN" w:bidi="ar-SA"/>
        </w:rPr>
      </w:pPr>
      <w:r w:rsidRPr="006274F9">
        <w:rPr>
          <w:rFonts w:asciiTheme="minorHAnsi" w:hAnsiTheme="minorHAnsi" w:cstheme="minorHAnsi"/>
          <w:noProof/>
          <w:sz w:val="22"/>
          <w:szCs w:val="22"/>
          <w:lang w:val="en-IN" w:eastAsia="en-IN" w:bidi="ar-SA"/>
        </w:rPr>
        <w:drawing>
          <wp:inline distT="0" distB="0" distL="0" distR="0" wp14:anchorId="20E4BF35" wp14:editId="2887553F">
            <wp:extent cx="6134100" cy="3307080"/>
            <wp:effectExtent l="0" t="0" r="0" b="762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8F932F5" w14:textId="77777777" w:rsidR="00A03F54" w:rsidRPr="006274F9" w:rsidRDefault="00A03F54" w:rsidP="00A03F54">
      <w:pPr>
        <w:pStyle w:val="Caption"/>
        <w:jc w:val="both"/>
        <w:rPr>
          <w:rFonts w:asciiTheme="minorHAnsi" w:hAnsiTheme="minorHAnsi" w:cstheme="minorHAnsi"/>
          <w:sz w:val="22"/>
          <w:szCs w:val="22"/>
        </w:rPr>
      </w:pPr>
      <w:r w:rsidRPr="006274F9">
        <w:rPr>
          <w:rFonts w:asciiTheme="minorHAnsi" w:hAnsiTheme="minorHAnsi" w:cstheme="minorHAnsi"/>
          <w:sz w:val="22"/>
          <w:szCs w:val="22"/>
        </w:rPr>
        <w:t>Figure 4: Proportion of the different land uses</w:t>
      </w:r>
    </w:p>
    <w:p w14:paraId="442A5A72" w14:textId="6F639CA4" w:rsidR="00523B27" w:rsidRPr="006274F9" w:rsidRDefault="00523B27" w:rsidP="004F2AFD">
      <w:pPr>
        <w:jc w:val="both"/>
        <w:rPr>
          <w:rFonts w:cstheme="minorHAnsi"/>
        </w:rPr>
      </w:pPr>
    </w:p>
    <w:p w14:paraId="6C50A092" w14:textId="501BA379" w:rsidR="009B31FF" w:rsidRPr="006274F9" w:rsidRDefault="0049164C" w:rsidP="004F2AFD">
      <w:pPr>
        <w:jc w:val="both"/>
        <w:rPr>
          <w:rFonts w:cstheme="minorHAnsi"/>
        </w:rPr>
      </w:pPr>
      <w:r w:rsidRPr="006274F9">
        <w:rPr>
          <w:rFonts w:cstheme="minorHAnsi"/>
        </w:rPr>
        <w:t xml:space="preserve">While most of us were </w:t>
      </w:r>
      <w:r w:rsidR="00481640" w:rsidRPr="006274F9">
        <w:rPr>
          <w:rFonts w:cstheme="minorHAnsi"/>
        </w:rPr>
        <w:t xml:space="preserve">unaware of the developments in the wetland, </w:t>
      </w:r>
      <w:r w:rsidRPr="006274F9">
        <w:rPr>
          <w:rFonts w:cstheme="minorHAnsi"/>
        </w:rPr>
        <w:t>Mr. Raju, who hails from the Keirbetta village also a member of the Longwood shola watchdog committee was on his f</w:t>
      </w:r>
      <w:r w:rsidR="001612BE" w:rsidRPr="006274F9">
        <w:rPr>
          <w:rFonts w:cstheme="minorHAnsi"/>
        </w:rPr>
        <w:t xml:space="preserve">eet day in and </w:t>
      </w:r>
      <w:r w:rsidR="001612BE" w:rsidRPr="006274F9">
        <w:rPr>
          <w:rFonts w:cstheme="minorHAnsi"/>
        </w:rPr>
        <w:lastRenderedPageBreak/>
        <w:t xml:space="preserve">day out to stop the </w:t>
      </w:r>
      <w:r w:rsidR="003449FB" w:rsidRPr="006274F9">
        <w:rPr>
          <w:rFonts w:cstheme="minorHAnsi"/>
        </w:rPr>
        <w:t xml:space="preserve">wetland from being converted to a built up. </w:t>
      </w:r>
      <w:r w:rsidR="009B31FF" w:rsidRPr="006274F9">
        <w:rPr>
          <w:rFonts w:cstheme="minorHAnsi"/>
        </w:rPr>
        <w:t>He has been spearheading a lot of such campaigns in the Nilgiris for environmental protection by sending petitions after petitions to various government officials and departments.</w:t>
      </w:r>
      <w:r w:rsidR="00CD0332" w:rsidRPr="006274F9">
        <w:rPr>
          <w:rFonts w:cstheme="minorHAnsi"/>
        </w:rPr>
        <w:t xml:space="preserve"> </w:t>
      </w:r>
      <w:r w:rsidR="00943E46" w:rsidRPr="006274F9">
        <w:rPr>
          <w:rFonts w:cstheme="minorHAnsi"/>
        </w:rPr>
        <w:t>The local communities</w:t>
      </w:r>
      <w:r w:rsidR="00005E3C" w:rsidRPr="006274F9">
        <w:rPr>
          <w:rFonts w:cstheme="minorHAnsi"/>
        </w:rPr>
        <w:t>, citizens groups and NGO’s</w:t>
      </w:r>
      <w:r w:rsidR="00943E46" w:rsidRPr="006274F9">
        <w:rPr>
          <w:rFonts w:cstheme="minorHAnsi"/>
        </w:rPr>
        <w:t xml:space="preserve"> have been voicing their objections on such unmindful government projects </w:t>
      </w:r>
      <w:r w:rsidR="00005E3C" w:rsidRPr="006274F9">
        <w:rPr>
          <w:rFonts w:cstheme="minorHAnsi"/>
        </w:rPr>
        <w:t>being planned around wetlands and water bodies</w:t>
      </w:r>
      <w:r w:rsidR="004A100F" w:rsidRPr="006274F9">
        <w:rPr>
          <w:rFonts w:cstheme="minorHAnsi"/>
        </w:rPr>
        <w:t xml:space="preserve"> across the Nilgiris.</w:t>
      </w:r>
    </w:p>
    <w:p w14:paraId="0BA87598" w14:textId="7DF96AF8" w:rsidR="009A7D89" w:rsidRPr="006274F9" w:rsidRDefault="004F2AFD" w:rsidP="004F2AFD">
      <w:pPr>
        <w:jc w:val="both"/>
        <w:rPr>
          <w:rFonts w:cstheme="minorHAnsi"/>
        </w:rPr>
      </w:pPr>
      <w:r w:rsidRPr="006274F9">
        <w:rPr>
          <w:rFonts w:cstheme="minorHAnsi"/>
        </w:rPr>
        <w:t xml:space="preserve">Keystone Foundation has been engaging local communities in the region to conserve this patch of Wetland which provides drinking water to </w:t>
      </w:r>
      <w:r w:rsidR="00BD1FCB">
        <w:rPr>
          <w:rFonts w:cstheme="minorHAnsi"/>
        </w:rPr>
        <w:t>neighboring</w:t>
      </w:r>
      <w:r w:rsidRPr="006274F9">
        <w:rPr>
          <w:rFonts w:cstheme="minorHAnsi"/>
        </w:rPr>
        <w:t xml:space="preserve"> areas</w:t>
      </w:r>
      <w:r w:rsidR="00121CC2" w:rsidRPr="006274F9">
        <w:rPr>
          <w:rFonts w:cstheme="minorHAnsi"/>
        </w:rPr>
        <w:t xml:space="preserve"> and </w:t>
      </w:r>
      <w:r w:rsidRPr="006274F9">
        <w:rPr>
          <w:rFonts w:cstheme="minorHAnsi"/>
        </w:rPr>
        <w:t xml:space="preserve">is the origin of the stream which flows towards </w:t>
      </w:r>
      <w:proofErr w:type="spellStart"/>
      <w:r w:rsidRPr="006274F9">
        <w:rPr>
          <w:rFonts w:cstheme="minorHAnsi"/>
        </w:rPr>
        <w:t>Kottacombai</w:t>
      </w:r>
      <w:proofErr w:type="spellEnd"/>
      <w:r w:rsidRPr="006274F9">
        <w:rPr>
          <w:rFonts w:cstheme="minorHAnsi"/>
        </w:rPr>
        <w:t xml:space="preserve"> to join the Catherine falls river and further down to join the </w:t>
      </w:r>
      <w:proofErr w:type="spellStart"/>
      <w:r w:rsidRPr="006274F9">
        <w:rPr>
          <w:rFonts w:cstheme="minorHAnsi"/>
        </w:rPr>
        <w:t>Kallar</w:t>
      </w:r>
      <w:proofErr w:type="spellEnd"/>
      <w:r w:rsidRPr="006274F9">
        <w:rPr>
          <w:rFonts w:cstheme="minorHAnsi"/>
        </w:rPr>
        <w:t xml:space="preserve"> River at Mettupalayam.</w:t>
      </w:r>
      <w:r w:rsidR="008D4224" w:rsidRPr="006274F9">
        <w:rPr>
          <w:rFonts w:cstheme="minorHAnsi"/>
        </w:rPr>
        <w:t xml:space="preserve"> The ecosystem service the wetland offers</w:t>
      </w:r>
      <w:r w:rsidR="008727E7" w:rsidRPr="006274F9">
        <w:rPr>
          <w:rFonts w:cstheme="minorHAnsi"/>
        </w:rPr>
        <w:t xml:space="preserve"> is immeasurable</w:t>
      </w:r>
      <w:r w:rsidR="008D4224" w:rsidRPr="006274F9">
        <w:rPr>
          <w:rFonts w:cstheme="minorHAnsi"/>
        </w:rPr>
        <w:t xml:space="preserve"> in terms of purifying the pollutants and providing with fresh water to communities and wildlife,</w:t>
      </w:r>
      <w:r w:rsidR="005A69E3" w:rsidRPr="006274F9">
        <w:rPr>
          <w:rFonts w:cstheme="minorHAnsi"/>
        </w:rPr>
        <w:t xml:space="preserve"> cultural value, reservoirs of biodiversity, maintaining</w:t>
      </w:r>
      <w:r w:rsidR="008727E7" w:rsidRPr="006274F9">
        <w:rPr>
          <w:rFonts w:cstheme="minorHAnsi"/>
        </w:rPr>
        <w:t xml:space="preserve"> local hydrology, supporting perennial flow of water in the stream, flood control and a carbon sink. </w:t>
      </w:r>
    </w:p>
    <w:p w14:paraId="405D6C81" w14:textId="734CFE2B" w:rsidR="00662C18" w:rsidRPr="006274F9" w:rsidRDefault="00662C18" w:rsidP="00662C18">
      <w:pPr>
        <w:jc w:val="both"/>
        <w:rPr>
          <w:rFonts w:cstheme="minorHAnsi"/>
        </w:rPr>
      </w:pPr>
      <w:r w:rsidRPr="006274F9">
        <w:rPr>
          <w:rFonts w:cstheme="minorHAnsi"/>
        </w:rPr>
        <w:t>Despite the repeated call</w:t>
      </w:r>
      <w:r w:rsidR="009A7D89" w:rsidRPr="006274F9">
        <w:rPr>
          <w:rFonts w:cstheme="minorHAnsi"/>
        </w:rPr>
        <w:t>s</w:t>
      </w:r>
      <w:r w:rsidRPr="006274F9">
        <w:rPr>
          <w:rFonts w:cstheme="minorHAnsi"/>
        </w:rPr>
        <w:t xml:space="preserve"> for conserving wetlands and water bodies by stopping further encroachment</w:t>
      </w:r>
      <w:r w:rsidR="009A7D89" w:rsidRPr="006274F9">
        <w:rPr>
          <w:rFonts w:cstheme="minorHAnsi"/>
        </w:rPr>
        <w:t xml:space="preserve">, the decision makers have turned a deaf ear to the </w:t>
      </w:r>
      <w:r w:rsidR="00A33A27" w:rsidRPr="006274F9">
        <w:rPr>
          <w:rFonts w:cstheme="minorHAnsi"/>
        </w:rPr>
        <w:t>people’s</w:t>
      </w:r>
      <w:r w:rsidR="009A7D89" w:rsidRPr="006274F9">
        <w:rPr>
          <w:rFonts w:cstheme="minorHAnsi"/>
        </w:rPr>
        <w:t xml:space="preserve"> pleas.</w:t>
      </w:r>
      <w:r w:rsidR="00F76E3F" w:rsidRPr="006274F9">
        <w:rPr>
          <w:rFonts w:cstheme="minorHAnsi"/>
        </w:rPr>
        <w:t xml:space="preserve"> Today one man’s effort and continuous fight has resulted in the government abandoning the PHC project at Rifle Range</w:t>
      </w:r>
      <w:r w:rsidR="009D4013" w:rsidRPr="006274F9">
        <w:rPr>
          <w:rFonts w:cstheme="minorHAnsi"/>
        </w:rPr>
        <w:t>. B</w:t>
      </w:r>
      <w:r w:rsidR="00C9209D" w:rsidRPr="006274F9">
        <w:rPr>
          <w:rFonts w:cstheme="minorHAnsi"/>
        </w:rPr>
        <w:t>ut</w:t>
      </w:r>
      <w:r w:rsidR="00C451B8" w:rsidRPr="006274F9">
        <w:rPr>
          <w:rFonts w:cstheme="minorHAnsi"/>
        </w:rPr>
        <w:t xml:space="preserve"> the project has been</w:t>
      </w:r>
      <w:r w:rsidR="00C9209D" w:rsidRPr="006274F9">
        <w:rPr>
          <w:rFonts w:cstheme="minorHAnsi"/>
        </w:rPr>
        <w:t xml:space="preserve"> </w:t>
      </w:r>
      <w:r w:rsidR="007A428A" w:rsidRPr="006274F9">
        <w:rPr>
          <w:rFonts w:cstheme="minorHAnsi"/>
        </w:rPr>
        <w:t xml:space="preserve">stopped </w:t>
      </w:r>
      <w:r w:rsidR="00C9209D" w:rsidRPr="006274F9">
        <w:rPr>
          <w:rFonts w:cstheme="minorHAnsi"/>
        </w:rPr>
        <w:t xml:space="preserve">for </w:t>
      </w:r>
      <w:r w:rsidR="00E90E02" w:rsidRPr="006274F9">
        <w:rPr>
          <w:rFonts w:cstheme="minorHAnsi"/>
        </w:rPr>
        <w:t xml:space="preserve">only </w:t>
      </w:r>
      <w:r w:rsidR="00C9209D" w:rsidRPr="006274F9">
        <w:rPr>
          <w:rFonts w:cstheme="minorHAnsi"/>
        </w:rPr>
        <w:t>the wrong reasons</w:t>
      </w:r>
      <w:r w:rsidR="00E90E02" w:rsidRPr="006274F9">
        <w:rPr>
          <w:rFonts w:cstheme="minorHAnsi"/>
        </w:rPr>
        <w:t xml:space="preserve"> that the soil is not suitable for the building stability</w:t>
      </w:r>
      <w:r w:rsidR="009D4013" w:rsidRPr="006274F9">
        <w:rPr>
          <w:rFonts w:cstheme="minorHAnsi"/>
        </w:rPr>
        <w:t xml:space="preserve"> and not because it is an important ecosystem to conserve. </w:t>
      </w:r>
    </w:p>
    <w:p w14:paraId="79443A0F" w14:textId="7BDFFB0E" w:rsidR="00D74A83" w:rsidRPr="006274F9" w:rsidRDefault="00085D10" w:rsidP="00662C18">
      <w:pPr>
        <w:jc w:val="both"/>
        <w:rPr>
          <w:rFonts w:cstheme="minorHAnsi"/>
        </w:rPr>
      </w:pPr>
      <w:r w:rsidRPr="006274F9">
        <w:rPr>
          <w:rFonts w:cstheme="minorHAnsi"/>
        </w:rPr>
        <w:t>Let us not forget that the Nilgiris district is highly vulnerable to landslides</w:t>
      </w:r>
      <w:r w:rsidR="00293FFA">
        <w:rPr>
          <w:rFonts w:cstheme="minorHAnsi"/>
        </w:rPr>
        <w:t>,</w:t>
      </w:r>
      <w:r w:rsidRPr="006274F9">
        <w:rPr>
          <w:rFonts w:cstheme="minorHAnsi"/>
        </w:rPr>
        <w:t xml:space="preserve"> and recurring flood events in the urban towns</w:t>
      </w:r>
      <w:r w:rsidR="00C32E3E" w:rsidRPr="006274F9">
        <w:rPr>
          <w:rFonts w:cstheme="minorHAnsi"/>
        </w:rPr>
        <w:t xml:space="preserve"> is a new normal</w:t>
      </w:r>
      <w:r w:rsidRPr="006274F9">
        <w:rPr>
          <w:rFonts w:cstheme="minorHAnsi"/>
        </w:rPr>
        <w:t xml:space="preserve">. </w:t>
      </w:r>
      <w:r w:rsidR="0080674E" w:rsidRPr="006274F9">
        <w:rPr>
          <w:rFonts w:cstheme="minorHAnsi"/>
        </w:rPr>
        <w:t>This takes us back to square one where we need to re</w:t>
      </w:r>
      <w:r w:rsidR="00D74A83" w:rsidRPr="006274F9">
        <w:rPr>
          <w:rFonts w:cstheme="minorHAnsi"/>
        </w:rPr>
        <w:t>-</w:t>
      </w:r>
      <w:r w:rsidR="0080674E" w:rsidRPr="006274F9">
        <w:rPr>
          <w:rFonts w:cstheme="minorHAnsi"/>
        </w:rPr>
        <w:t xml:space="preserve">iterate that these Small Hill Wetland are not Wastelands but </w:t>
      </w:r>
      <w:r w:rsidR="00B57B35" w:rsidRPr="006274F9">
        <w:rPr>
          <w:rFonts w:cstheme="minorHAnsi"/>
        </w:rPr>
        <w:t xml:space="preserve">important zones for mitigating climate disasters in the region apart from the various services that they provide us. </w:t>
      </w:r>
    </w:p>
    <w:p w14:paraId="27B8A89C" w14:textId="36FEC0CB" w:rsidR="00E57DD5" w:rsidRPr="006274F9" w:rsidRDefault="00E57DD5" w:rsidP="00662C18">
      <w:pPr>
        <w:jc w:val="both"/>
        <w:rPr>
          <w:rFonts w:cstheme="minorHAnsi"/>
        </w:rPr>
      </w:pPr>
      <w:r w:rsidRPr="006274F9">
        <w:rPr>
          <w:rFonts w:cstheme="minorHAnsi"/>
        </w:rPr>
        <w:t>Until we hear about the next wetland being converted</w:t>
      </w:r>
      <w:r w:rsidR="005A1263" w:rsidRPr="006274F9">
        <w:rPr>
          <w:rFonts w:cstheme="minorHAnsi"/>
        </w:rPr>
        <w:t xml:space="preserve"> and </w:t>
      </w:r>
      <w:r w:rsidR="000732BC">
        <w:rPr>
          <w:rFonts w:cstheme="minorHAnsi"/>
        </w:rPr>
        <w:t xml:space="preserve">until the </w:t>
      </w:r>
      <w:r w:rsidR="005A1263" w:rsidRPr="006274F9">
        <w:rPr>
          <w:rFonts w:cstheme="minorHAnsi"/>
        </w:rPr>
        <w:t>next disaster hits us, let us all go back to our comfort zones</w:t>
      </w:r>
      <w:r w:rsidR="00F0567B" w:rsidRPr="006274F9">
        <w:rPr>
          <w:rFonts w:cstheme="minorHAnsi"/>
        </w:rPr>
        <w:t xml:space="preserve"> and act like nothing happened. </w:t>
      </w:r>
    </w:p>
    <w:p w14:paraId="5FC1D72B" w14:textId="50D43D65" w:rsidR="0080674E" w:rsidRPr="006274F9" w:rsidRDefault="0080674E" w:rsidP="00662C18">
      <w:pPr>
        <w:jc w:val="both"/>
        <w:rPr>
          <w:rFonts w:cstheme="minorHAnsi"/>
        </w:rPr>
      </w:pPr>
      <w:r w:rsidRPr="006274F9">
        <w:rPr>
          <w:rFonts w:cstheme="minorHAnsi"/>
        </w:rPr>
        <w:t xml:space="preserve"> </w:t>
      </w:r>
    </w:p>
    <w:p w14:paraId="759975C9" w14:textId="77777777" w:rsidR="00121CC2" w:rsidRPr="006274F9" w:rsidRDefault="00121CC2" w:rsidP="004F2AFD">
      <w:pPr>
        <w:jc w:val="both"/>
        <w:rPr>
          <w:rFonts w:cstheme="minorHAnsi"/>
        </w:rPr>
      </w:pPr>
    </w:p>
    <w:p w14:paraId="30A44E39" w14:textId="77777777" w:rsidR="004F2AFD" w:rsidRPr="006274F9" w:rsidRDefault="004F2AFD" w:rsidP="004F2AFD">
      <w:pPr>
        <w:jc w:val="both"/>
        <w:rPr>
          <w:rFonts w:cstheme="minorHAnsi"/>
        </w:rPr>
      </w:pPr>
    </w:p>
    <w:p w14:paraId="182EEDB6" w14:textId="77777777" w:rsidR="004F2AFD" w:rsidRPr="006274F9" w:rsidRDefault="004F2AFD" w:rsidP="004F2AFD">
      <w:pPr>
        <w:jc w:val="both"/>
        <w:rPr>
          <w:rFonts w:cstheme="minorHAnsi"/>
        </w:rPr>
      </w:pPr>
    </w:p>
    <w:p w14:paraId="2C2B2B0D" w14:textId="77777777" w:rsidR="004F2AFD" w:rsidRPr="006274F9" w:rsidRDefault="004F2AFD">
      <w:pPr>
        <w:rPr>
          <w:rFonts w:cstheme="minorHAnsi"/>
        </w:rPr>
      </w:pPr>
    </w:p>
    <w:p w14:paraId="0C4105E3" w14:textId="77777777" w:rsidR="00585A7E" w:rsidRPr="006274F9" w:rsidRDefault="00585A7E">
      <w:pPr>
        <w:rPr>
          <w:rFonts w:cstheme="minorHAnsi"/>
        </w:rPr>
      </w:pPr>
    </w:p>
    <w:sectPr w:rsidR="00585A7E" w:rsidRPr="006274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8C"/>
    <w:rsid w:val="00005E3C"/>
    <w:rsid w:val="000224BD"/>
    <w:rsid w:val="000732BC"/>
    <w:rsid w:val="00085D10"/>
    <w:rsid w:val="00121CC2"/>
    <w:rsid w:val="00127C17"/>
    <w:rsid w:val="001612BE"/>
    <w:rsid w:val="001B5B32"/>
    <w:rsid w:val="001B7B07"/>
    <w:rsid w:val="00261916"/>
    <w:rsid w:val="00264048"/>
    <w:rsid w:val="00293FFA"/>
    <w:rsid w:val="002941C1"/>
    <w:rsid w:val="002B15FC"/>
    <w:rsid w:val="002B1764"/>
    <w:rsid w:val="002B4062"/>
    <w:rsid w:val="002E2921"/>
    <w:rsid w:val="002F5078"/>
    <w:rsid w:val="00317FB6"/>
    <w:rsid w:val="003449FB"/>
    <w:rsid w:val="003514E5"/>
    <w:rsid w:val="003613D0"/>
    <w:rsid w:val="004417B5"/>
    <w:rsid w:val="00452814"/>
    <w:rsid w:val="0045575F"/>
    <w:rsid w:val="00481640"/>
    <w:rsid w:val="0048719B"/>
    <w:rsid w:val="0049164C"/>
    <w:rsid w:val="004A100F"/>
    <w:rsid w:val="004B2983"/>
    <w:rsid w:val="004F2AFD"/>
    <w:rsid w:val="00523B27"/>
    <w:rsid w:val="00585A7E"/>
    <w:rsid w:val="005A1263"/>
    <w:rsid w:val="005A69E3"/>
    <w:rsid w:val="005D405E"/>
    <w:rsid w:val="00604E7D"/>
    <w:rsid w:val="006274F9"/>
    <w:rsid w:val="00662C18"/>
    <w:rsid w:val="006B2BAE"/>
    <w:rsid w:val="006C0CDA"/>
    <w:rsid w:val="00742A1B"/>
    <w:rsid w:val="007630C3"/>
    <w:rsid w:val="007A428A"/>
    <w:rsid w:val="0080674E"/>
    <w:rsid w:val="008101B6"/>
    <w:rsid w:val="008727E7"/>
    <w:rsid w:val="008C539E"/>
    <w:rsid w:val="008C5A96"/>
    <w:rsid w:val="008D4224"/>
    <w:rsid w:val="00905131"/>
    <w:rsid w:val="00943E46"/>
    <w:rsid w:val="0095042C"/>
    <w:rsid w:val="009A7D89"/>
    <w:rsid w:val="009B31FF"/>
    <w:rsid w:val="009D4013"/>
    <w:rsid w:val="009E08B9"/>
    <w:rsid w:val="009F416F"/>
    <w:rsid w:val="00A03F54"/>
    <w:rsid w:val="00A12993"/>
    <w:rsid w:val="00A15AC7"/>
    <w:rsid w:val="00A245D4"/>
    <w:rsid w:val="00A33A27"/>
    <w:rsid w:val="00A407FD"/>
    <w:rsid w:val="00A7579B"/>
    <w:rsid w:val="00A85582"/>
    <w:rsid w:val="00B1275C"/>
    <w:rsid w:val="00B57B35"/>
    <w:rsid w:val="00B76987"/>
    <w:rsid w:val="00BD1FCB"/>
    <w:rsid w:val="00BE20CB"/>
    <w:rsid w:val="00C233E4"/>
    <w:rsid w:val="00C32E3E"/>
    <w:rsid w:val="00C451B8"/>
    <w:rsid w:val="00C8621F"/>
    <w:rsid w:val="00C9209D"/>
    <w:rsid w:val="00CD0332"/>
    <w:rsid w:val="00D3777B"/>
    <w:rsid w:val="00D37C11"/>
    <w:rsid w:val="00D60CFF"/>
    <w:rsid w:val="00D74A83"/>
    <w:rsid w:val="00E01794"/>
    <w:rsid w:val="00E13DF2"/>
    <w:rsid w:val="00E4777C"/>
    <w:rsid w:val="00E57DD5"/>
    <w:rsid w:val="00E90E02"/>
    <w:rsid w:val="00EA138C"/>
    <w:rsid w:val="00EB3ECA"/>
    <w:rsid w:val="00F0567B"/>
    <w:rsid w:val="00F21A22"/>
    <w:rsid w:val="00F23548"/>
    <w:rsid w:val="00F76E3F"/>
    <w:rsid w:val="00F86DDF"/>
    <w:rsid w:val="00FC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C72C"/>
  <w15:chartTrackingRefBased/>
  <w15:docId w15:val="{57E00DE0-D6EA-4E56-A2BD-4869A8E5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A69E3"/>
    <w:pPr>
      <w:suppressLineNumbers/>
      <w:suppressAutoHyphens/>
      <w:spacing w:after="0" w:line="240" w:lineRule="auto"/>
    </w:pPr>
    <w:rPr>
      <w:rFonts w:ascii="Liberation Serif" w:eastAsia="SimSun" w:hAnsi="Liberation Serif" w:cs="Lucida Sans"/>
      <w:kern w:val="2"/>
      <w:sz w:val="24"/>
      <w:szCs w:val="24"/>
      <w:lang w:val="en-GB" w:eastAsia="zh-CN" w:bidi="hi-IN"/>
    </w:rPr>
  </w:style>
  <w:style w:type="paragraph" w:styleId="Caption">
    <w:name w:val="caption"/>
    <w:basedOn w:val="Normal"/>
    <w:qFormat/>
    <w:rsid w:val="00A03F54"/>
    <w:pPr>
      <w:suppressLineNumbers/>
      <w:suppressAutoHyphens/>
      <w:spacing w:before="120" w:after="120" w:line="240" w:lineRule="auto"/>
    </w:pPr>
    <w:rPr>
      <w:rFonts w:ascii="Liberation Serif" w:eastAsia="SimSun" w:hAnsi="Liberation Serif" w:cs="Lucida Sans"/>
      <w:i/>
      <w:iCs/>
      <w:kern w:val="2"/>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gokul.KEYSTONE\Desktop\2018\Drive\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IN" sz="1400" b="1"/>
              <a:t>Area </a:t>
            </a:r>
            <a:r>
              <a:rPr lang="en-IN" sz="1400" b="1" baseline="0"/>
              <a:t> in </a:t>
            </a:r>
            <a:r>
              <a:rPr lang="en-IN" sz="1400" b="1"/>
              <a:t>acres</a:t>
            </a:r>
          </a:p>
        </c:rich>
      </c:tx>
      <c:layout>
        <c:manualLayout>
          <c:xMode val="edge"/>
          <c:yMode val="edge"/>
          <c:x val="0.74139588801399858"/>
          <c:y val="5.5555555555555518E-2"/>
        </c:manualLayout>
      </c:layout>
      <c:overlay val="1"/>
    </c:title>
    <c:autoTitleDeleted val="0"/>
    <c:view3D>
      <c:rotX val="30"/>
      <c:rotY val="0"/>
      <c:rAngAx val="1"/>
    </c:view3D>
    <c:floor>
      <c:thickness val="0"/>
    </c:floor>
    <c:sideWall>
      <c:thickness val="0"/>
    </c:sideWall>
    <c:backWall>
      <c:thickness val="0"/>
    </c:backWall>
    <c:plotArea>
      <c:layout>
        <c:manualLayout>
          <c:layoutTarget val="inner"/>
          <c:xMode val="edge"/>
          <c:yMode val="edge"/>
          <c:x val="3.1944444444444442E-2"/>
          <c:y val="0.18768081073199189"/>
          <c:w val="0.95000000000000029"/>
          <c:h val="0.75878207932341823"/>
        </c:manualLayout>
      </c:layout>
      <c:pie3DChart>
        <c:varyColors val="1"/>
        <c:ser>
          <c:idx val="0"/>
          <c:order val="0"/>
          <c:tx>
            <c:strRef>
              <c:f>Sheet2!$B$5</c:f>
              <c:strCache>
                <c:ptCount val="1"/>
                <c:pt idx="0">
                  <c:v>Area (acres)</c:v>
                </c:pt>
              </c:strCache>
            </c:strRef>
          </c:tx>
          <c:explosion val="25"/>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Sheet2!$A$6:$A$10</c:f>
              <c:strCache>
                <c:ptCount val="5"/>
                <c:pt idx="0">
                  <c:v>Built-up</c:v>
                </c:pt>
                <c:pt idx="1">
                  <c:v>Tea</c:v>
                </c:pt>
                <c:pt idx="2">
                  <c:v>Tree cover</c:v>
                </c:pt>
                <c:pt idx="3">
                  <c:v>Wetland</c:v>
                </c:pt>
                <c:pt idx="4">
                  <c:v>Others</c:v>
                </c:pt>
              </c:strCache>
            </c:strRef>
          </c:cat>
          <c:val>
            <c:numRef>
              <c:f>Sheet2!$B$6:$B$10</c:f>
              <c:numCache>
                <c:formatCode>General</c:formatCode>
                <c:ptCount val="5"/>
                <c:pt idx="0">
                  <c:v>28.93</c:v>
                </c:pt>
                <c:pt idx="1">
                  <c:v>55.28</c:v>
                </c:pt>
                <c:pt idx="2">
                  <c:v>8.59</c:v>
                </c:pt>
                <c:pt idx="3">
                  <c:v>6.99</c:v>
                </c:pt>
                <c:pt idx="4">
                  <c:v>8.2100000000000009</c:v>
                </c:pt>
              </c:numCache>
            </c:numRef>
          </c:val>
          <c:extLst>
            <c:ext xmlns:c16="http://schemas.microsoft.com/office/drawing/2014/chart" uri="{C3380CC4-5D6E-409C-BE32-E72D297353CC}">
              <c16:uniqueId val="{00000000-0E02-4F1E-80C2-1C43C931E3AE}"/>
            </c:ext>
          </c:extLst>
        </c:ser>
        <c:dLbls>
          <c:showLegendKey val="0"/>
          <c:showVal val="0"/>
          <c:showCatName val="0"/>
          <c:showSerName val="0"/>
          <c:showPercent val="0"/>
          <c:showBubbleSize val="0"/>
          <c:showLeaderLines val="1"/>
        </c:dLbls>
      </c:pie3DChart>
    </c:plotArea>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3</cp:revision>
  <dcterms:created xsi:type="dcterms:W3CDTF">2021-03-03T05:35:00Z</dcterms:created>
  <dcterms:modified xsi:type="dcterms:W3CDTF">2021-03-03T05:40:00Z</dcterms:modified>
</cp:coreProperties>
</file>